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9e4a2001343ed" /><Relationship Type="http://schemas.openxmlformats.org/package/2006/relationships/metadata/core-properties" Target="/docProps/core.xml" Id="Rffc429fe8a034a64" /><Relationship Type="http://schemas.openxmlformats.org/officeDocument/2006/relationships/extended-properties" Target="/docProps/app.xml" Id="Rc35354952cc04401" /><Relationship Type="http://schemas.openxmlformats.org/officeDocument/2006/relationships/custom-properties" Target="/docProps/custom.xml" Id="Rcdc1dde40c714ca9" /></Relationships>
</file>

<file path=word/document.xml><?xml version="1.0" encoding="utf-8"?>
<w:document xmlns:r="http://schemas.openxmlformats.org/officeDocument/2006/relationships" xmlns:m="http://schemas.openxmlformats.org/officeDocument/2006/math" xmlns:v="urn:schemas-microsoft-com:vml" xmlns:o="urn:schemas-microsoft-com:office:office" xmlns:w10="urn:schemas-microsoft-com:office:word" xmlns:wne="http://schemas.microsoft.com/office/word/2006/wordml" xmlns:wp="http://schemas.openxmlformats.org/drawingml/2006/wordprocessingDrawing" xmlns:wp14="http://schemas.microsoft.com/office/word/2010/wordprocessingDrawing" xmlns:w14="http://schemas.microsoft.com/office/word/2010/wordml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15="http://schemas.microsoft.com/office/word/2012/wordml" xmlns:mc="http://schemas.openxmlformats.org/markup-compatibility/2006" xmlns:w="http://schemas.openxmlformats.org/wordprocessingml/2006/main" mc:Ignorable="w14 w15 wp14">
  <w:body>
    <w:p w14:paraId="00100000" w14:textId="00100001">
      <w:pPr>
        <w:pStyle w:val="Title"/>
      </w:pPr>
      <w:r>
        <w:rPr/>
        <w:t xml:space="preserve">施工项目安全生产费合规使用标准解析</w:t>
      </w:r>
    </w:p>
    <w:p w14:paraId="00100002" w14:textId="00100003">
      <w:pPr>
        <w:spacing w:after="360"/>
        <w:jc w:val="center"/>
      </w:pPr>
      <w:r>
        <w:rPr>
          <w:color w:val="666666"/>
          <w:sz w:val="22"/>
        </w:rPr>
        <w:t xml:space="preserve">财资〔2022〕136号与建办[2005]89号衔接应用实务</w:t>
      </w:r>
    </w:p>
    <w:p w14:paraId="00100004" w14:textId="00100005">
      <w:pPr>
        <w:pStyle w:val="Heading1"/>
      </w:pPr>
      <w:r>
        <w:rPr/>
        <w:t xml:space="preserve">一、两套文件体系</w:t>
      </w:r>
    </w:p>
    <w:p w14:paraId="00100006" w14:textId="00100007">
      <w:pPr/>
      <w:r>
        <w:rPr>
          <w:sz w:val="22"/>
        </w:rPr>
        <w:t xml:space="preserve">建筑施工企业在安全生产费管理上适用两套文件体系，二者定位不同、互不矛盾。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2256"/>
        <w:gridCol w:w="2256"/>
        <w:gridCol w:w="2256"/>
        <w:gridCol w:w="2256"/>
      </w:tblGrid>
      <w:tr>
        <w:trPr>
          <w:tblHeader/>
          <w:trHeight w:val="283"/>
        </w:trPr>
        <w:tc>
          <w:tcPr>
            <w:shd w:val="clear" w:fill="1F4E79"/>
          </w:tcPr>
          <w:p w14:paraId="00100008" w14:textId="00100038">
            <w:r>
              <w:rPr>
                <w:b/>
                <w:color w:val="FFFFFF"/>
                <w:sz w:val="20"/>
              </w:rPr>
              <w:t xml:space="preserve">维度</w:t>
            </w:r>
          </w:p>
        </w:tc>
        <w:tc>
          <w:tcPr>
            <w:shd w:val="clear" w:fill="1F4E79"/>
          </w:tcPr>
          <w:p w14:paraId="0010000A" w14:textId="00100039">
            <w:r>
              <w:rPr>
                <w:b/>
                <w:color w:val="FFFFFF"/>
                <w:sz w:val="20"/>
              </w:rPr>
              <w:t xml:space="preserve">财资〔2022〕136号</w:t>
            </w:r>
          </w:p>
        </w:tc>
        <w:tc>
          <w:tcPr>
            <w:shd w:val="clear" w:fill="1F4E79"/>
          </w:tcPr>
          <w:p w14:paraId="0010000C" w14:textId="0010003A">
            <w:r>
              <w:rPr>
                <w:b/>
                <w:color w:val="FFFFFF"/>
                <w:sz w:val="20"/>
              </w:rPr>
              <w:t xml:space="preserve">建办[2005]89号</w:t>
            </w:r>
          </w:p>
        </w:tc>
        <w:tc>
          <w:tcPr>
            <w:shd w:val="clear" w:fill="1F4E79"/>
          </w:tcPr>
          <w:p w14:paraId="0010000E" w14:textId="0010003B">
            <w:r>
              <w:rPr>
                <w:b/>
                <w:color w:val="FFFFFF"/>
                <w:sz w:val="20"/>
              </w:rPr>
              <w:t xml:space="preserve">说明</w:t>
            </w:r>
          </w:p>
        </w:tc>
      </w:tr>
      <w:tr>
        <w:trPr/>
        <w:tc>
          <w:p w14:paraId="00100010" w14:textId="00100011">
            <w:r>
              <w:t xml:space="preserve">发文主体</w:t>
            </w:r>
          </w:p>
        </w:tc>
        <w:tc>
          <w:p w14:paraId="00100012" w14:textId="00100013">
            <w:r>
              <w:t xml:space="preserve">财政部、应急部</w:t>
            </w:r>
          </w:p>
        </w:tc>
        <w:tc>
          <w:p w14:paraId="00100014" w14:textId="00100015">
            <w:r>
              <w:t xml:space="preserve">建设部（原）</w:t>
            </w:r>
          </w:p>
        </w:tc>
        <w:tc>
          <w:p w14:paraId="00100016" w14:textId="00100017">
            <w:r>
              <w:t xml:space="preserve">部委分工不同</w:t>
            </w:r>
          </w:p>
        </w:tc>
      </w:tr>
      <w:tr>
        <w:trPr/>
        <w:tc>
          <w:p w14:paraId="00100018" w14:textId="00100019">
            <w:r>
              <w:t xml:space="preserve">法律层级</w:t>
            </w:r>
          </w:p>
        </w:tc>
        <w:tc>
          <w:p w14:paraId="0010001A" w14:textId="0010001B">
            <w:r>
              <w:t xml:space="preserve">部门规章</w:t>
            </w:r>
          </w:p>
        </w:tc>
        <w:tc>
          <w:p w14:paraId="0010001C" w14:textId="0010001D">
            <w:r>
              <w:t xml:space="preserve">规范性文件</w:t>
            </w:r>
          </w:p>
        </w:tc>
        <w:tc>
          <w:p w14:paraId="0010001E" w14:textId="0010001F">
            <w:r>
              <w:t xml:space="preserve">136号效力更高</w:t>
            </w:r>
          </w:p>
        </w:tc>
      </w:tr>
      <w:tr>
        <w:trPr/>
        <w:tc>
          <w:p w14:paraId="00100020" w14:textId="00100021">
            <w:r>
              <w:t xml:space="preserve">适用对象</w:t>
            </w:r>
          </w:p>
        </w:tc>
        <w:tc>
          <w:p w14:paraId="00100022" w14:textId="00100023">
            <w:r>
              <w:t xml:space="preserve">全行业（含建筑施工）</w:t>
            </w:r>
          </w:p>
        </w:tc>
        <w:tc>
          <w:p w14:paraId="00100024" w14:textId="00100025">
            <w:r>
              <w:t xml:space="preserve">仅建筑工程</w:t>
            </w:r>
          </w:p>
        </w:tc>
        <w:tc>
          <w:p w14:paraId="00100026" w14:textId="00100027">
            <w:r>
              <w:t xml:space="preserve">136号覆盖更广</w:t>
            </w:r>
          </w:p>
        </w:tc>
      </w:tr>
      <w:tr>
        <w:trPr/>
        <w:tc>
          <w:p w14:paraId="00100028" w14:textId="00100029">
            <w:r>
              <w:t xml:space="preserve">费用性质</w:t>
            </w:r>
          </w:p>
        </w:tc>
        <w:tc>
          <w:p w14:paraId="0010002A" w14:textId="0010002B">
            <w:r>
              <w:t xml:space="preserve">综合保障性费用</w:t>
            </w:r>
          </w:p>
        </w:tc>
        <w:tc>
          <w:p w14:paraId="0010002C" w14:textId="0010002D">
            <w:r>
              <w:t xml:space="preserve">专项措施费用</w:t>
            </w:r>
          </w:p>
        </w:tc>
        <w:tc>
          <w:p w14:paraId="0010002E" w14:textId="0010002F">
            <w:r>
              <w:t xml:space="preserve">总账与明细账</w:t>
            </w:r>
          </w:p>
        </w:tc>
      </w:tr>
      <w:tr>
        <w:trPr/>
        <w:tc>
          <w:p w14:paraId="00100030" w14:textId="0010003C">
            <w:pPr>
              <w:pBdr>
                <w:bottom w:val="single" w:color="1F4E79" w:sz="4" w:space="0"/>
              </w:pBdr>
            </w:pPr>
            <w:r>
              <w:t xml:space="preserve">管理目标</w:t>
            </w:r>
          </w:p>
        </w:tc>
        <w:tc>
          <w:p w14:paraId="00100032" w14:textId="0010003D">
            <w:pPr>
              <w:pBdr>
                <w:bottom w:val="single" w:color="1F4E79" w:sz="4" w:space="0"/>
              </w:pBdr>
            </w:pPr>
            <w:r>
              <w:t xml:space="preserve">保证安全生产投入有稳定资金来源</w:t>
            </w:r>
          </w:p>
        </w:tc>
        <w:tc>
          <w:p w14:paraId="00100034" w14:textId="0010003E">
            <w:pPr>
              <w:pBdr>
                <w:bottom w:val="single" w:color="1F4E79" w:sz="4" w:space="0"/>
              </w:pBdr>
            </w:pPr>
            <w:r>
              <w:t xml:space="preserve">保证现场安全防护和文明施工措施到位</w:t>
            </w:r>
          </w:p>
        </w:tc>
        <w:tc>
          <w:p w14:paraId="00100036" w14:textId="0010003F">
            <w:pPr>
              <w:pBdr>
                <w:bottom w:val="single" w:color="1F4E79" w:sz="4" w:space="0"/>
              </w:pBdr>
            </w:pPr>
            <w:r>
              <w:t xml:space="preserve">上下游关系</w:t>
            </w:r>
          </w:p>
        </w:tc>
      </w:tr>
    </w:tbl>
    <w:p w14:paraId="00100040" w14:textId="00100041">
      <w:pPr>
        <w:pStyle w:val="Heading2"/>
      </w:pPr>
      <w:r>
        <w:rPr/>
        <w:t xml:space="preserve">核心衔接原则</w:t>
      </w:r>
    </w:p>
    <w:p w14:paraId="00100042" w14:textId="00100043">
      <w:pPr/>
      <w:r>
        <w:rPr/>
        <w:t xml:space="preserve">136号规定安全生产费如何提取、怎么用，解决的是钱怎么来的问题；89号规定安措费如何在现场花，解决的是钱怎么花的问题。二者不是替代关系，是上下游关系。具体衔接遵循以下原则：</w:t>
      </w:r>
    </w:p>
    <w:p w14:paraId="00100044" w14:textId="00100045">
      <w:pPr/>
      <w:r>
        <w:rPr/>
        <w:t xml:space="preserve">136号是总账，89号是明细账。安措费属于安全生产费的一项细分科目。</w:t>
      </w:r>
    </w:p>
    <w:p w14:paraId="00100046" w14:textId="00100047">
      <w:pPr/>
      <w:r>
        <w:rPr/>
        <w:t xml:space="preserve">安措费在安全生产费中的占比无强制规定，实务中约占40%—60%。</w:t>
      </w:r>
    </w:p>
    <w:p w14:paraId="00100048" w14:textId="00100049">
      <w:pPr/>
      <w:r>
        <w:rPr/>
        <w:t xml:space="preserve">89号所规定的安措费不可竞争性质依然有效，136号并未废止89号。</w:t>
      </w:r>
    </w:p>
    <w:p w14:paraId="0010004A" w14:textId="0010004B">
      <w:pPr/>
      <w:r>
        <w:rPr/>
        <w:t xml:space="preserve">129号文（财企〔2012〕16号）已废止，以136号为准。</w:t>
      </w:r>
    </w:p>
    <w:p w14:paraId="0010004C" w14:textId="0010004D">
      <w:pPr>
        <w:pStyle w:val="Heading1"/>
      </w:pPr>
      <w:r>
        <w:rPr/>
        <w:t xml:space="preserve">二、费用分类对应：九项支出与四类支出</w:t>
      </w:r>
    </w:p>
    <w:p w14:paraId="0010004E" w14:textId="0010004F">
      <w:pPr/>
      <w:r>
        <w:rPr/>
        <w:t xml:space="preserve">136号（2022版）对建筑施工企业规定的安全生产费支出范围共九项：</w:t>
      </w:r>
    </w:p>
    <w:p w14:paraId="00100050" w14:textId="00100051">
      <w:pPr>
        <w:numPr>
          <w:ilvl w:val="0"/>
          <w:numId w:val="1"/>
        </w:numPr>
      </w:pPr>
      <w:r>
        <w:rPr/>
        <w:t xml:space="preserve">完善、改造和维护安全防护设施设备支出</w:t>
      </w:r>
    </w:p>
    <w:p w14:paraId="00100052" w14:textId="00100053">
      <w:pPr>
        <w:numPr>
          <w:ilvl w:val="0"/>
          <w:numId w:val="1"/>
        </w:numPr>
      </w:pPr>
      <w:r>
        <w:rPr/>
        <w:t xml:space="preserve">配备、维护应急救援器材、设备和应急演练支出</w:t>
      </w:r>
    </w:p>
    <w:p w14:paraId="00100054" w14:textId="00100055">
      <w:pPr>
        <w:numPr>
          <w:ilvl w:val="0"/>
          <w:numId w:val="1"/>
        </w:numPr>
      </w:pPr>
      <w:r>
        <w:rPr/>
        <w:t xml:space="preserve">开展重大危险源和事故隐患评估、监控和整改支出</w:t>
      </w:r>
    </w:p>
    <w:p w14:paraId="00100056" w14:textId="00100057">
      <w:pPr>
        <w:numPr>
          <w:ilvl w:val="0"/>
          <w:numId w:val="1"/>
        </w:numPr>
      </w:pPr>
      <w:r>
        <w:rPr/>
        <w:t xml:space="preserve">安全生产检查、评价、咨询和标准化建设支出</w:t>
      </w:r>
    </w:p>
    <w:p w14:paraId="00100058" w14:textId="00100059">
      <w:pPr>
        <w:numPr>
          <w:ilvl w:val="0"/>
          <w:numId w:val="1"/>
        </w:numPr>
      </w:pPr>
      <w:r>
        <w:rPr/>
        <w:t xml:space="preserve">安全生产宣传、教育、培训支出</w:t>
      </w:r>
    </w:p>
    <w:p w14:paraId="0010005A" w14:textId="0010005B">
      <w:pPr>
        <w:numPr>
          <w:ilvl w:val="0"/>
          <w:numId w:val="1"/>
        </w:numPr>
      </w:pPr>
      <w:r>
        <w:rPr/>
        <w:t xml:space="preserve">配备和更新现场作业人员安全防护用品支出</w:t>
      </w:r>
    </w:p>
    <w:p w14:paraId="0010005C" w14:textId="0010005D">
      <w:pPr>
        <w:numPr>
          <w:ilvl w:val="0"/>
          <w:numId w:val="1"/>
        </w:numPr>
      </w:pPr>
      <w:r>
        <w:rPr/>
        <w:t xml:space="preserve">安全生产适用的新技术、新标准、新工艺、新装备推广应用支出</w:t>
      </w:r>
    </w:p>
    <w:p w14:paraId="0010005E" w14:textId="0010005F">
      <w:pPr>
        <w:numPr>
          <w:ilvl w:val="0"/>
          <w:numId w:val="1"/>
        </w:numPr>
      </w:pPr>
      <w:r>
        <w:rPr/>
        <w:t xml:space="preserve">安全设施及特种设备检测检验支出</w:t>
      </w:r>
    </w:p>
    <w:p w14:paraId="00100060" w14:textId="00100061">
      <w:pPr>
        <w:numPr>
          <w:ilvl w:val="0"/>
          <w:numId w:val="1"/>
        </w:numPr>
      </w:pPr>
      <w:r>
        <w:rPr/>
        <w:t xml:space="preserve">其他与安全生产直接相关的支出</w:t>
      </w:r>
    </w:p>
    <w:p w14:paraId="00100062" w14:textId="00100063">
      <w:pPr>
        <w:pStyle w:val="Heading2"/>
      </w:pPr>
      <w:r>
        <w:rPr/>
        <w:t xml:space="preserve">89号文安措费四类支出</w:t>
      </w:r>
    </w:p>
    <w:p w14:paraId="00100064" w14:textId="00100065">
      <w:pPr>
        <w:numPr>
          <w:ilvl w:val="0"/>
          <w:numId w:val="2"/>
        </w:numPr>
      </w:pPr>
      <w:r>
        <w:rPr/>
        <w:t xml:space="preserve">安全防护费——临边防护、洞口防护、高处作业防护、交叉作业防护、脚手架防护等</w:t>
      </w:r>
    </w:p>
    <w:p w14:paraId="00100066" w14:textId="00100067">
      <w:pPr>
        <w:numPr>
          <w:ilvl w:val="0"/>
          <w:numId w:val="2"/>
        </w:numPr>
      </w:pPr>
      <w:r>
        <w:rPr/>
        <w:t xml:space="preserve">文明施工费——围挡、场容场貌、标牌、地面硬化、冲洗设施、现场办公生活设施等</w:t>
      </w:r>
    </w:p>
    <w:p w14:paraId="00100068" w14:textId="00100069">
      <w:pPr>
        <w:numPr>
          <w:ilvl w:val="0"/>
          <w:numId w:val="2"/>
        </w:numPr>
      </w:pPr>
      <w:r>
        <w:rPr/>
        <w:t xml:space="preserve">临时设施费——临时用电、临时用水、临时道路、临时办公用房等</w:t>
      </w:r>
    </w:p>
    <w:p w14:paraId="0010006A" w14:textId="0010006B">
      <w:pPr>
        <w:numPr>
          <w:ilvl w:val="0"/>
          <w:numId w:val="2"/>
        </w:numPr>
      </w:pPr>
      <w:r>
        <w:rPr/>
        <w:t xml:space="preserve">环境保护费——扬尘控制、噪声控制、污水排放、垃圾清运等</w:t>
      </w:r>
    </w:p>
    <w:p w14:paraId="0010006C" w14:textId="0010006D">
      <w:pPr>
        <w:pStyle w:val="Heading2"/>
      </w:pPr>
      <w:r>
        <w:rPr/>
        <w:t xml:space="preserve">实务对应关系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8"/>
        <w:gridCol w:w="3008"/>
        <w:gridCol w:w="3008"/>
      </w:tblGrid>
      <w:tr>
        <w:trPr>
          <w:tblHeader/>
          <w:trHeight w:val="283"/>
        </w:trPr>
        <w:tc>
          <w:tcPr>
            <w:shd w:val="clear" w:fill="1F4E79"/>
          </w:tcPr>
          <w:p w14:paraId="0010006E" w14:textId="00100092">
            <w:r>
              <w:rPr>
                <w:b/>
                <w:color w:val="FFFFFF"/>
                <w:sz w:val="20"/>
              </w:rPr>
              <w:t xml:space="preserve">89号安措费四类</w:t>
            </w:r>
          </w:p>
        </w:tc>
        <w:tc>
          <w:tcPr>
            <w:shd w:val="clear" w:fill="1F4E79"/>
          </w:tcPr>
          <w:p w14:paraId="00100070" w14:textId="00100093">
            <w:r>
              <w:rPr>
                <w:b/>
                <w:color w:val="FFFFFF"/>
                <w:sz w:val="20"/>
              </w:rPr>
              <w:t xml:space="preserve">对应136号九项科目</w:t>
            </w:r>
          </w:p>
        </w:tc>
        <w:tc>
          <w:tcPr>
            <w:shd w:val="clear" w:fill="1F4E79"/>
          </w:tcPr>
          <w:p w14:paraId="00100072" w14:textId="00100094">
            <w:r>
              <w:rPr>
                <w:b/>
                <w:color w:val="FFFFFF"/>
                <w:sz w:val="20"/>
              </w:rPr>
              <w:t xml:space="preserve">说明</w:t>
            </w:r>
          </w:p>
        </w:tc>
      </w:tr>
      <w:tr>
        <w:trPr/>
        <w:tc>
          <w:p w14:paraId="00100074" w14:textId="00100075">
            <w:r>
              <w:t xml:space="preserve">一、安全防护费</w:t>
            </w:r>
          </w:p>
        </w:tc>
        <w:tc>
          <w:p w14:paraId="00100076" w14:textId="00100077">
            <w:r>
              <w:t xml:space="preserve">第①项（安全防护设施设备）+ 第⑥项（防护用品）</w:t>
            </w:r>
          </w:p>
        </w:tc>
        <w:tc>
          <w:p w14:paraId="00100078" w14:textId="00100079">
            <w:r>
              <w:t xml:space="preserve">完全对应，全额列支</w:t>
            </w:r>
          </w:p>
        </w:tc>
      </w:tr>
      <w:tr>
        <w:trPr/>
        <w:tc>
          <w:p w14:paraId="0010007A" w14:textId="0010007B">
            <w:r>
              <w:t xml:space="preserve">二、文明施工费</w:t>
            </w:r>
          </w:p>
        </w:tc>
        <w:tc>
          <w:p w14:paraId="0010007C" w14:textId="0010007D">
            <w:r>
              <w:t xml:space="preserve">第①项（围挡、标牌属安全设施）</w:t>
            </w:r>
          </w:p>
        </w:tc>
        <w:tc>
          <w:p w14:paraId="0010007E" w14:textId="0010007F">
            <w:r>
              <w:t xml:space="preserve">部分对应，安全相关部分可列支</w:t>
            </w:r>
          </w:p>
        </w:tc>
      </w:tr>
      <w:tr>
        <w:trPr/>
        <w:tc>
          <w:p w14:paraId="00100080" w14:textId="00100081">
            <w:r>
              <w:t xml:space="preserve">三、临时设施费</w:t>
            </w:r>
          </w:p>
        </w:tc>
        <w:tc>
          <w:p w14:paraId="00100082" w14:textId="00100083">
            <w:r>
              <w:t xml:space="preserve">第①项（临时用电属安全设施）；临时办公室等不属安全费</w:t>
            </w:r>
          </w:p>
        </w:tc>
        <w:tc>
          <w:p w14:paraId="00100084" w14:textId="00100085">
            <w:r>
              <w:t xml:space="preserve">部分对应，仅安全相关设施可列支</w:t>
            </w:r>
          </w:p>
        </w:tc>
      </w:tr>
      <w:tr>
        <w:trPr/>
        <w:tc>
          <w:p w14:paraId="00100086" w14:textId="00100087">
            <w:r>
              <w:t xml:space="preserve">四、环境保护费</w:t>
            </w:r>
          </w:p>
        </w:tc>
        <w:tc>
          <w:p w14:paraId="00100088" w14:textId="00100089">
            <w:r>
              <w:t xml:space="preserve">原则上不直接对应安全生产费</w:t>
            </w:r>
          </w:p>
        </w:tc>
        <w:tc>
          <w:p w14:paraId="0010008A" w14:textId="0010008B">
            <w:r>
              <w:t xml:space="preserve">除非能证明与安全直接相关，否则从工程直接费列支</w:t>
            </w:r>
          </w:p>
        </w:tc>
      </w:tr>
      <w:tr>
        <w:trPr/>
        <w:tc>
          <w:p w14:paraId="0010008C" w14:textId="00100095">
            <w:pPr>
              <w:pBdr>
                <w:bottom w:val="single" w:color="1F4E79" w:sz="4" w:space="0"/>
              </w:pBdr>
            </w:pPr>
            <w:r>
              <w:t xml:space="preserve">汇总</w:t>
            </w:r>
          </w:p>
        </w:tc>
        <w:tc>
          <w:p w14:paraId="0010008E" w14:textId="00100096">
            <w:pPr>
              <w:pBdr>
                <w:bottom w:val="single" w:color="1F4E79" w:sz="4" w:space="0"/>
              </w:pBdr>
            </w:pPr>
            <w:r>
              <w:t xml:space="preserve">89号四类中约60%—80%可在136号安全生产费列支</w:t>
            </w:r>
          </w:p>
        </w:tc>
        <w:tc>
          <w:p w14:paraId="00100090" w14:textId="00100097">
            <w:pPr>
              <w:pBdr>
                <w:bottom w:val="single" w:color="1F4E79" w:sz="4" w:space="0"/>
              </w:pBdr>
            </w:pPr>
            <w:r>
              <w:t xml:space="preserve">其余从工程直接费列支</w:t>
            </w:r>
          </w:p>
        </w:tc>
      </w:tr>
    </w:tbl>
    <w:p w14:paraId="00100098" w14:textId="00100099">
      <w:pPr>
        <w:pStyle w:val="Heading1"/>
      </w:pPr>
      <w:r>
        <w:rPr/>
        <w:t xml:space="preserve">三、提取标准与费率</w:t>
      </w:r>
    </w:p>
    <w:p w14:paraId="0010009A" w14:textId="0010009B">
      <w:pPr/>
      <w:r>
        <w:rPr/>
        <w:t xml:space="preserve">136号规定建筑施工企业安全生产费按工程造价计提，具体费率如下：</w:t>
      </w:r>
    </w:p>
    <w:tbl>
      <w:tblPr>
        <w:tblW w:w="4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4513"/>
        <w:gridCol w:w="4513"/>
      </w:tblGrid>
      <w:tr>
        <w:trPr>
          <w:tblHeader/>
          <w:trHeight w:val="283"/>
        </w:trPr>
        <w:tc>
          <w:tcPr>
            <w:shd w:val="clear" w:fill="1F4E79"/>
          </w:tcPr>
          <w:p w14:paraId="0010009C" w14:textId="001000AC">
            <w:r>
              <w:rPr>
                <w:b/>
                <w:color w:val="FFFFFF"/>
                <w:sz w:val="20"/>
              </w:rPr>
              <w:t xml:space="preserve">工程类别</w:t>
            </w:r>
          </w:p>
        </w:tc>
        <w:tc>
          <w:tcPr>
            <w:shd w:val="clear" w:fill="1F4E79"/>
          </w:tcPr>
          <w:p w14:paraId="0010009E" w14:textId="001000AD">
            <w:r>
              <w:rPr>
                <w:b/>
                <w:color w:val="FFFFFF"/>
                <w:sz w:val="20"/>
              </w:rPr>
              <w:t xml:space="preserve">提取比例</w:t>
            </w:r>
          </w:p>
        </w:tc>
      </w:tr>
      <w:tr>
        <w:trPr/>
        <w:tc>
          <w:p w14:paraId="001000A0" w14:textId="001000A1">
            <w:r>
              <w:t xml:space="preserve">房屋建筑工程</w:t>
            </w:r>
          </w:p>
        </w:tc>
        <w:tc>
          <w:p w14:paraId="001000A2" w14:textId="001000A3">
            <w:r>
              <w:t xml:space="preserve">2.0%</w:t>
            </w:r>
          </w:p>
        </w:tc>
      </w:tr>
      <w:tr>
        <w:trPr/>
        <w:tc>
          <w:p w14:paraId="001000A4" w14:textId="001000A5">
            <w:r>
              <w:t xml:space="preserve">市政公用工程</w:t>
            </w:r>
          </w:p>
        </w:tc>
        <w:tc>
          <w:p w14:paraId="001000A6" w14:textId="001000A7">
            <w:r>
              <w:t xml:space="preserve">1.5%</w:t>
            </w:r>
          </w:p>
        </w:tc>
      </w:tr>
      <w:tr>
        <w:trPr/>
        <w:tc>
          <w:p w14:paraId="001000A8" w14:textId="001000A9">
            <w:r>
              <w:t xml:space="preserve">水利水电工程、电力工程</w:t>
            </w:r>
          </w:p>
        </w:tc>
        <w:tc>
          <w:p w14:paraId="001000AA" w14:textId="001000AB">
            <w:r>
              <w:t xml:space="preserve">2.0%</w:t>
            </w:r>
          </w:p>
        </w:tc>
      </w:tr>
    </w:tbl>
    <w:p w14:paraId="001000AE" w14:textId="001000AF">
      <w:pPr>
        <w:pStyle w:val="Heading1"/>
      </w:pPr>
      <w:r>
        <w:rPr/>
        <w:t xml:space="preserve">四、安全生产投入的有效落实</w:t>
      </w:r>
    </w:p>
    <w:p w14:paraId="001000B0" w14:textId="001000B1">
      <w:pPr>
        <w:pStyle w:val="Heading2"/>
      </w:pPr>
      <w:r>
        <w:rPr/>
        <w:t xml:space="preserve">制度要求</w:t>
      </w:r>
    </w:p>
    <w:p w14:paraId="001000B2" w14:textId="001000B3">
      <w:pPr/>
      <w:r>
        <w:rPr/>
        <w:t xml:space="preserve">《安全生产法》第23条要求"生产经营单位应当具备的安全生产条件所必需的资金投入"。落地核心是建立"三表一账"管理体系：</w:t>
      </w:r>
    </w:p>
    <w:p w14:paraId="001000B4" w14:textId="001000B5">
      <w:pPr>
        <w:numPr>
          <w:ilvl w:val="0"/>
          <w:numId w:val="3"/>
        </w:numPr>
      </w:pPr>
      <w:r>
        <w:rPr/>
        <w:t xml:space="preserve">安全生产投入计划表——年初按项目编制，列明预算金额、责任人、时间节点</w:t>
      </w:r>
    </w:p>
    <w:p w14:paraId="001000B6" w14:textId="001000B7">
      <w:pPr>
        <w:numPr>
          <w:ilvl w:val="0"/>
          <w:numId w:val="3"/>
        </w:numPr>
      </w:pPr>
      <w:r>
        <w:rPr/>
        <w:t xml:space="preserve">安全生产费用提取台账——按136号标准逐月提取记录</w:t>
      </w:r>
    </w:p>
    <w:p w14:paraId="001000B8" w14:textId="001000B9">
      <w:pPr>
        <w:numPr>
          <w:ilvl w:val="0"/>
          <w:numId w:val="3"/>
        </w:numPr>
      </w:pPr>
      <w:r>
        <w:rPr/>
        <w:t xml:space="preserve">安全生产费用使用台账——按136号九项分类逐笔登记，票据、合同、验收记录三对应</w:t>
      </w:r>
    </w:p>
    <w:p w14:paraId="001000BA" w14:textId="001000BB">
      <w:pPr>
        <w:numPr>
          <w:ilvl w:val="0"/>
          <w:numId w:val="3"/>
        </w:numPr>
      </w:pPr>
      <w:r>
        <w:rPr/>
        <w:t xml:space="preserve">年度安全生产投入决算表——年终审计，对照计划检查执行率</w:t>
      </w:r>
    </w:p>
    <w:p w14:paraId="001000BC" w14:textId="001000BD">
      <w:pPr>
        <w:pStyle w:val="Heading2"/>
      </w:pPr>
      <w:r>
        <w:rPr/>
        <w:t xml:space="preserve">四步闭环流程</w:t>
      </w:r>
    </w:p>
    <w:p w14:paraId="001000BE" w14:textId="001000BF">
      <w:pPr/>
      <w:r>
        <w:rPr/>
        <w:t xml:space="preserve">第一步：提取足额。按136号比例从工程款分批提取，单独核算。</w:t>
      </w:r>
    </w:p>
    <w:p w14:paraId="001000C0" w14:textId="001000C1">
      <w:pPr/>
      <w:r>
        <w:rPr/>
        <w:t xml:space="preserve">第二步：计划合规。编制安全生产投入计划，覆盖全部法定列支范围。</w:t>
      </w:r>
    </w:p>
    <w:p w14:paraId="001000C2" w14:textId="001000C3">
      <w:pPr/>
      <w:r>
        <w:rPr/>
        <w:t xml:space="preserve">第三步：支出有据。每笔支出关联对应的136号科目，票据、合同、验收记录三对应。</w:t>
      </w:r>
    </w:p>
    <w:p w14:paraId="001000C4" w14:textId="001000C5">
      <w:pPr/>
      <w:r>
        <w:rPr/>
        <w:t xml:space="preserve">第四步：审计核验。年度/竣工后审计检查：是否足额提取、是否专款专用、是否挪用、投入效果评估。</w:t>
      </w:r>
    </w:p>
    <w:p w14:paraId="001000C6" w14:textId="001000C7">
      <w:pPr>
        <w:pStyle w:val="Heading2"/>
      </w:pPr>
      <w:r>
        <w:rPr/>
        <w:t xml:space="preserve">三个落实动作</w:t>
      </w:r>
    </w:p>
    <w:p w14:paraId="001000C8" w14:textId="001000C9">
      <w:pPr/>
      <w:r>
        <w:rPr/>
        <w:t xml:space="preserve">费用投向由安全管理部门提出投入需求，财务保证资金到位，投入计划需经安全负责人签字。财务与安全不是谁听谁的，是按制度分工。</w:t>
      </w:r>
    </w:p>
    <w:p w14:paraId="001000CA" w14:textId="001000CB">
      <w:pPr/>
      <w:r>
        <w:rPr/>
        <w:t xml:space="preserve">支出效果要有量化依据。购买了多少防护用品、覆盖了什么人、解决了什么隐患，每一项都要可查、可核、可追溯。</w:t>
      </w:r>
    </w:p>
    <w:p w14:paraId="001000CC" w14:textId="001000CD">
      <w:pPr/>
      <w:r>
        <w:rPr/>
        <w:t xml:space="preserve">年度结余可结转下年，但不得截留或作为利润分配。项目未完即退回结余的，视同挪用。</w:t>
      </w:r>
    </w:p>
    <w:p w14:paraId="001000CE" w14:textId="001000CF">
      <w:pPr>
        <w:pStyle w:val="Heading1"/>
      </w:pPr>
      <w:r>
        <w:rPr/>
        <w:t xml:space="preserve">五、常见问题</w:t>
      </w:r>
    </w:p>
    <w:p w14:paraId="001000D0" w14:textId="001000D1">
      <w:pPr>
        <w:pStyle w:val="Heading3"/>
      </w:pPr>
      <w:r>
        <w:rPr/>
        <w:t xml:space="preserve">Q1：89号文是否已废止？</w:t>
      </w:r>
    </w:p>
    <w:p w14:paraId="001000D2" w14:textId="001000D3">
      <w:pPr/>
      <w:r>
        <w:rPr/>
        <w:t xml:space="preserve">未废止。136号出台后，89号关于安措费作为不可竞争费用列入合同总价的规定仍然有效。两文件并行适用，136号管提取总量，89号管现场支出明细。</w:t>
      </w:r>
    </w:p>
    <w:p w14:paraId="001000D4" w14:textId="001000D5">
      <w:pPr>
        <w:pStyle w:val="Heading3"/>
      </w:pPr>
      <w:r>
        <w:rPr/>
        <w:t xml:space="preserve">Q2：临时办公用房和生活设施能否从安全生产费列支？</w:t>
      </w:r>
    </w:p>
    <w:p w14:paraId="001000D6" w14:textId="001000D7">
      <w:pPr/>
      <w:r>
        <w:rPr/>
        <w:t xml:space="preserve">不能。136号要求支出与安全生产直接相关。纯办公生活设施不属于安全生产费列支范围，应从工程直接费列支。实务中有人将其归入第⑨项其他支出，存在审计风险。</w:t>
      </w:r>
    </w:p>
    <w:p w14:paraId="001000D8" w14:textId="001000D9">
      <w:pPr>
        <w:pStyle w:val="Heading3"/>
      </w:pPr>
      <w:r>
        <w:rPr/>
        <w:t xml:space="preserve">Q3：提取比例不足有什么后果？</w:t>
      </w:r>
    </w:p>
    <w:p w14:paraId="001000DA" w14:textId="001000DB">
      <w:pPr/>
      <w:r>
        <w:rPr/>
        <w:t xml:space="preserve">136号未设定罚则，但不按标准提取安全生产费，在事故调查中会被认定为安全生产投入不足，依据《安全生产法》第23条追究企业主要负责人责任。事故定责时，投入不足是加重情节。</w:t>
      </w:r>
    </w:p>
    <w:p w14:paraId="001000DC" w14:textId="001000DD">
      <w:pPr>
        <w:pStyle w:val="Heading3"/>
      </w:pPr>
      <w:r>
        <w:rPr/>
        <w:t xml:space="preserve">Q4：安全生产费的审计需要提供什么证据链？</w:t>
      </w:r>
    </w:p>
    <w:p w14:paraId="001000DE" w14:textId="001000DF">
      <w:pPr/>
      <w:r>
        <w:rPr/>
        <w:t xml:space="preserve">每笔支出需提供：①发票或收据；②合同或采购单；③验收记录（到货签收或工程签证）；④与136号九项科目的对应关系说明。缺任何一项，审计可能认定为"列支依据不充分"。</w:t>
      </w:r>
    </w:p>
    <w:p w14:paraId="001000E0" w14:textId="001000E1">
      <w:pPr>
        <w:pStyle w:val="Heading1"/>
      </w:pPr>
      <w:r>
        <w:rPr/>
        <w:t xml:space="preserve">六、总结</w:t>
      </w:r>
    </w:p>
    <w:tbl>
      <w:tblPr>
        <w:tblW w:w="5000" w:type="pct"/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4513"/>
        <w:gridCol w:w="4513"/>
      </w:tblGrid>
      <w:tr>
        <w:trPr>
          <w:tblHeader/>
          <w:trHeight w:val="283"/>
        </w:trPr>
        <w:tc>
          <w:tcPr>
            <w:shd w:val="clear" w:fill="1F4E79"/>
          </w:tcPr>
          <w:p w14:paraId="001000E2" w14:textId="001000F2">
            <w:r>
              <w:rPr>
                <w:b/>
                <w:color w:val="FFFFFF"/>
                <w:sz w:val="20"/>
              </w:rPr>
              <w:t xml:space="preserve">核心问题</w:t>
            </w:r>
          </w:p>
        </w:tc>
        <w:tc>
          <w:tcPr>
            <w:shd w:val="clear" w:fill="1F4E79"/>
          </w:tcPr>
          <w:p w14:paraId="001000E4" w14:textId="001000F3">
            <w:r>
              <w:rPr>
                <w:b/>
                <w:color w:val="FFFFFF"/>
                <w:sz w:val="20"/>
              </w:rPr>
              <w:t xml:space="preserve">答案</w:t>
            </w:r>
          </w:p>
        </w:tc>
      </w:tr>
      <w:tr>
        <w:trPr/>
        <w:tc>
          <w:p w14:paraId="001000E6" w14:textId="001000E7">
            <w:r>
              <w:t xml:space="preserve">136号怎么管总账</w:t>
            </w:r>
          </w:p>
        </w:tc>
        <w:tc>
          <w:p w14:paraId="001000E8" w14:textId="001000E9">
            <w:r>
              <w:t xml:space="preserve">按造价2.0%提取，九项分类归集，专款专用，单独核算</w:t>
            </w:r>
          </w:p>
        </w:tc>
      </w:tr>
      <w:tr>
        <w:trPr/>
        <w:tc>
          <w:p w14:paraId="001000EA" w14:textId="001000EB">
            <w:r>
              <w:t xml:space="preserve">89号怎么做明细</w:t>
            </w:r>
          </w:p>
        </w:tc>
        <w:tc>
          <w:p w14:paraId="001000EC" w14:textId="001000ED">
            <w:r>
              <w:t xml:space="preserve">在136号框架下，四类安措费按对应关系归入九项科目</w:t>
            </w:r>
          </w:p>
        </w:tc>
      </w:tr>
      <w:tr>
        <w:trPr/>
        <w:tc>
          <w:p w14:paraId="001000EE" w14:textId="001000F4">
            <w:pPr>
              <w:pBdr>
                <w:bottom w:val="single" w:color="1F4E79" w:sz="4" w:space="0"/>
              </w:pBdr>
            </w:pPr>
            <w:r>
              <w:t xml:space="preserve">安全生产投入怎么落实</w:t>
            </w:r>
          </w:p>
        </w:tc>
        <w:tc>
          <w:p w14:paraId="001000F0" w14:textId="001000F5">
            <w:pPr>
              <w:pBdr>
                <w:bottom w:val="single" w:color="1F4E79" w:sz="4" w:space="0"/>
              </w:pBdr>
            </w:pPr>
            <w:r>
              <w:t xml:space="preserve">三表一账 + 四步闭环 + 效果评估 + 结余结转</w:t>
            </w:r>
          </w:p>
        </w:tc>
      </w:tr>
    </w:tbl>
    <w:p w14:paraId="001000F6" w14:textId="001000F7">
      <w:pPr>
        <w:spacing w:before="360"/>
      </w:pPr>
      <w:r>
        <w:rPr>
          <w:color w:val="999999"/>
          <w:sz w:val="18"/>
        </w:rPr>
        <w:t xml:space="preserve">本文档依据现行法规文本编写，供企业内部培训使用。具体执行建议对照原文确认。</w:t>
      </w:r>
    </w:p>
    <w:sectPr>
      <w:footerReference w:type="default" r:id="R124ef76e2d5a46af"/>
      <w:pgSz w:w="11906" w:h="16838"/>
      <w:pgMar w:top="1440" w:right="1440" w:bottom="1440" w:left="1440"/>
      <w:docGrid w:type="default"/>
    </w:sectPr>
  </w:body>
</w:document>
</file>

<file path=word/footer1.xml><?xml version="1.0" encoding="utf-8"?>
<w:ftr xmlns:mc="http://schemas.openxmlformats.org/markup-compatibility/2006" xmlns:w14="http://schemas.microsoft.com/office/word/2010/wordml" xmlns:w="http://schemas.openxmlformats.org/wordprocessingml/2006/main" mc:Ignorable="w14">
  <w:p w14:paraId="001000F8" w14:textId="001000F9">
    <w:pPr>
      <w:jc w:val="center"/>
    </w:pPr>
    <w:r>
      <w:rPr>
        <w:sz w:val="18"/>
      </w:rPr>
      <w:t xml:space="preserve"> —</w:t>
    </w: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 xml:space="preserve">1</w:t>
    </w:r>
    <w:r>
      <w:rPr>
        <w:sz w:val="18"/>
      </w:rPr>
      <w:fldChar w:fldCharType="end"/>
    </w:r>
  </w:p>
</w:ftr>
</file>

<file path=word/numbering.xml><?xml version="1.0" encoding="utf-8"?>
<w:numbering xmlns:w="http://schemas.openxmlformats.org/wordprocessingml/2006/main">
  <w:abstractNum w:abstractNumId="0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="http://schemas.openxmlformats.org/wordprocessingml/2006/main">
  <w:characterSpacingControl w:val="doNotCompress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eastAsia="zh-CN"/>
</w:settings>
</file>

<file path=word/styles.xml><?xml version="1.0" encoding="utf-8"?>
<w:styles xmlns:w14="http://schemas.microsoft.com/office/word/2010/wordml" xmlns:mc="http://schemas.openxmlformats.org/markup-compatibility/2006" xmlns:w="http://schemas.openxmlformats.org/wordprocessingml/2006/main" mc:Ignorable="w14">
  <w:docDefaults>
    <w:rPrDefault>
      <w:rPr>
        <w:rFonts w:ascii="Times New Roman" w:hAnsi="Times New Roman" w:eastAsia="等线"/>
        <w:sz w:val="22"/>
        <w:szCs w:val="22"/>
      </w:rPr>
    </w:rPrDefault>
    <w:pPrDefault/>
  </w:docDefaults>
  <w:style w:type="paragraph" w:styleId="Normal" w:default="true">
    <w:name w:val="Normal"/>
    <w:qFormat/>
    <w:pPr>
      <w:spacing w:after="80" w:line="312" w:lineRule="auto"/>
    </w:pPr>
    <w:rPr>
      <w:rFonts w:ascii="SimSun" w:hAnsi="SimSun" w:eastAsia="SimSun"/>
      <w:sz w:val="22"/>
    </w:rPr>
  </w:style>
  <w:style w:type="paragraph" w:styleId="Title">
    <w:name w:val="title"/>
    <w:pPr>
      <w:spacing w:after="120"/>
      <w:jc w:val="center"/>
    </w:pPr>
    <w:rPr>
      <w:rFonts w:ascii="SimSun" w:hAnsi="SimSun" w:eastAsia="SimSun"/>
      <w:b/>
      <w:color w:val="1F4E79"/>
      <w:sz w:val="52"/>
    </w:rPr>
  </w:style>
  <w:style w:type="paragraph" w:styleId="Heading3">
    <w:name w:val="heading"/>
    <w:pPr>
      <w:spacing w:before="160" w:after="80"/>
    </w:pPr>
    <w:rPr>
      <w:rFonts w:ascii="SimHei" w:hAnsi="SimHei" w:eastAsia="SimHei"/>
      <w:b/>
      <w:color w:val="333333"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aaf6cb8fbadf474f" /><Relationship Type="http://schemas.openxmlformats.org/officeDocument/2006/relationships/styles" Target="/word/styles.xml" Id="Rfa9a25b61d0d4651" /><Relationship Type="http://schemas.openxmlformats.org/officeDocument/2006/relationships/theme" Target="/word/theme/theme1.xml" Id="R6cd6846e8b284752" /><Relationship Type="http://schemas.openxmlformats.org/officeDocument/2006/relationships/numbering" Target="/word/numbering.xml" Id="Raf3ca5c15b7f4030" /><Relationship Type="http://schemas.openxmlformats.org/officeDocument/2006/relationships/footer" Target="/word/footer1.xml" Id="R124ef76e2d5a46a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等线"/>
        <a:cs typeface=""/>
      </a:majorFont>
      <a:minorFont>
        <a:latin typeface="Calibri"/>
        <a:ea typeface="等线"/>
        <a:cs typeface=""/>
      </a:minorFont>
    </a:fontScheme>
    <a:fmtScheme name="Office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>
          <a:solidFill>
            <a:schemeClr val="phClr"/>
          </a:solidFill>
        </a:ln>
        <a:ln w="12700" cap="flat">
          <a:solidFill>
            <a:schemeClr val="phClr"/>
          </a:solidFill>
        </a:ln>
        <a:ln w="19050" cap="flat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ap:Properties xmlns:ap="http://schemas.openxmlformats.org/officeDocument/2006/extended-properties">
  <ap:Application>OfficeCLI/1.0.119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OfficeCLI</dc:creator>
  <dcterms:created xsi:type="dcterms:W3CDTF">2026-07-10T02:58:28Z</dcterms:created>
  <cp:lastModifiedBy>OfficeCLI</cp:lastModifiedBy>
  <dcterms:modified xsi:type="dcterms:W3CDTF">2026-07-10T02:58:28Z</dcterms:modified>
</cp:coreProperties>
</file>

<file path=docProps/custom.xml><?xml version="1.0" encoding="utf-8"?>
<op:Properties xmlns:op="http://schemas.openxmlformats.org/officeDocument/2006/custom-properties">
  <op:property fmtid="{D5CDD505-2E9C-101B-9397-08002B2CF9AE}" pid="2" name="OfficeCLI.Version">
    <vt:lpwstr xmlns:vt="http://schemas.openxmlformats.org/officeDocument/2006/docPropsVTypes">1.0.119</vt:lpwstr>
  </op:property>
  <op:property fmtid="{D5CDD505-2E9C-101B-9397-08002B2CF9AE}" pid="3" name="OfficeCLI.LastModified">
    <vt:lpwstr xmlns:vt="http://schemas.openxmlformats.org/officeDocument/2006/docPropsVTypes">2026-07-10T03:00:04Z</vt:lpwstr>
  </op:property>
</op:Properties>
</file>